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107</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RELIGIOUS NONSECTARIAN</w:t>
            </w:r>
          </w:p>
          <w:p w:rsidR="00000000" w:rsidDel="00000000" w:rsidP="00000000" w:rsidRDefault="00000000" w:rsidRPr="00000000" w14:paraId="00000006">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INSTRUCTION</w:t>
            </w:r>
          </w:p>
        </w:tc>
        <w:tc>
          <w:tcPr/>
          <w:p w:rsidR="00000000" w:rsidDel="00000000" w:rsidP="00000000" w:rsidRDefault="00000000" w:rsidRPr="00000000" w14:paraId="00000007">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8">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05/2019</w:t>
            </w:r>
          </w:p>
        </w:tc>
      </w:tr>
      <w:tr>
        <w:trPr>
          <w:cantSplit w:val="0"/>
          <w:tblHeader w:val="0"/>
        </w:trPr>
        <w:tc>
          <w:tcPr>
            <w:tcBorders>
              <w:bottom w:color="000000" w:space="0" w:sz="4" w:val="single"/>
            </w:tcBorders>
          </w:tcPr>
          <w:p w:rsidR="00000000" w:rsidDel="00000000" w:rsidP="00000000" w:rsidRDefault="00000000" w:rsidRPr="00000000" w14:paraId="00000009">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A">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05/2019</w:t>
            </w:r>
          </w:p>
        </w:tc>
        <w:tc>
          <w:tcPr/>
          <w:p w:rsidR="00000000" w:rsidDel="00000000" w:rsidP="00000000" w:rsidRDefault="00000000" w:rsidRPr="00000000" w14:paraId="0000000B">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C">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2022-2023</w:t>
            </w:r>
          </w:p>
        </w:tc>
        <w:tc>
          <w:tcPr/>
          <w:p w:rsidR="00000000" w:rsidDel="00000000" w:rsidP="00000000" w:rsidRDefault="00000000" w:rsidRPr="00000000" w14:paraId="0000000D">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E">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05/2019</w:t>
            </w:r>
          </w:p>
        </w:tc>
      </w:tr>
    </w:tbl>
    <w:p w:rsidR="00000000" w:rsidDel="00000000" w:rsidP="00000000" w:rsidRDefault="00000000" w:rsidRPr="00000000" w14:paraId="0000000F">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1">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purpose of this policy is to ensure that New Millennium Academy remains neutral with respect to the religious beliefs of students, parents, teachers, and other employees. </w:t>
      </w:r>
    </w:p>
    <w:p w:rsidR="00000000" w:rsidDel="00000000" w:rsidP="00000000" w:rsidRDefault="00000000" w:rsidRPr="00000000" w14:paraId="00000012">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b w:val="1"/>
          <w:rtl w:val="0"/>
        </w:rPr>
        <w:t xml:space="preserve">POLICY STATEMENT</w:t>
      </w:r>
    </w:p>
    <w:p w:rsidR="00000000" w:rsidDel="00000000" w:rsidP="00000000" w:rsidRDefault="00000000" w:rsidRPr="00000000" w14:paraId="00000013">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NEW MILLENNIUM ACADEMY (NMA)</w:t>
      </w:r>
      <w:r w:rsidDel="00000000" w:rsidR="00000000" w:rsidRPr="00000000">
        <w:rPr>
          <w:rFonts w:ascii="Quincy CF" w:cs="Quincy CF" w:eastAsia="Quincy CF" w:hAnsi="Quincy CF"/>
          <w:rtl w:val="0"/>
        </w:rPr>
        <w:t xml:space="preserve"> will not promote or criticize any religious belief or nonbelief. NMA encourages all students and employees to respect each other’s individual religious beliefs. </w:t>
      </w:r>
    </w:p>
    <w:p w:rsidR="00000000" w:rsidDel="00000000" w:rsidP="00000000" w:rsidRDefault="00000000" w:rsidRPr="00000000" w14:paraId="00000014">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There are historical and contemporary benefits in explaining the origin of various religious holidays, customs, and beliefs. NMA will explain these matters in an unbiased manner that does not support or criticize a particular religious view. </w:t>
      </w:r>
    </w:p>
    <w:p w:rsidR="00000000" w:rsidDel="00000000" w:rsidP="00000000" w:rsidRDefault="00000000" w:rsidRPr="00000000" w14:paraId="00000015">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b w:val="1"/>
          <w:rtl w:val="0"/>
        </w:rPr>
        <w:t xml:space="preserve">POLICY TERMS</w:t>
      </w:r>
    </w:p>
    <w:p w:rsidR="00000000" w:rsidDel="00000000" w:rsidP="00000000" w:rsidRDefault="00000000" w:rsidRPr="00000000" w14:paraId="00000016">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Teaching:</w:t>
      </w:r>
    </w:p>
    <w:p w:rsidR="00000000" w:rsidDel="00000000" w:rsidP="00000000" w:rsidRDefault="00000000" w:rsidRPr="00000000" w14:paraId="00000017">
      <w:pPr>
        <w:numPr>
          <w:ilvl w:val="2"/>
          <w:numId w:val="1"/>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NMA is responsible for ensuring that any study of religious subjects or materials:</w:t>
      </w:r>
    </w:p>
    <w:p w:rsidR="00000000" w:rsidDel="00000000" w:rsidP="00000000" w:rsidRDefault="00000000" w:rsidRPr="00000000" w14:paraId="00000018">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Is presented objectively;</w:t>
      </w:r>
    </w:p>
    <w:p w:rsidR="00000000" w:rsidDel="00000000" w:rsidP="00000000" w:rsidRDefault="00000000" w:rsidRPr="00000000" w14:paraId="00000019">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Has a secular purpose;</w:t>
      </w:r>
    </w:p>
    <w:p w:rsidR="00000000" w:rsidDel="00000000" w:rsidP="00000000" w:rsidRDefault="00000000" w:rsidRPr="00000000" w14:paraId="0000001A">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Has a primary objective that neither advances nor inhibits religion; and</w:t>
      </w:r>
    </w:p>
    <w:p w:rsidR="00000000" w:rsidDel="00000000" w:rsidP="00000000" w:rsidRDefault="00000000" w:rsidRPr="00000000" w14:paraId="0000001B">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Does not foster governmental relationships with religion.</w:t>
      </w:r>
    </w:p>
    <w:p w:rsidR="00000000" w:rsidDel="00000000" w:rsidP="00000000" w:rsidRDefault="00000000" w:rsidRPr="00000000" w14:paraId="0000001C">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Student Assignments:</w:t>
      </w:r>
    </w:p>
    <w:p w:rsidR="00000000" w:rsidDel="00000000" w:rsidP="00000000" w:rsidRDefault="00000000" w:rsidRPr="00000000" w14:paraId="0000001D">
      <w:pPr>
        <w:numPr>
          <w:ilvl w:val="2"/>
          <w:numId w:val="1"/>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Students may express their personal religious beliefs in assignments if the teacher determines the work is appropriate to the subject matter. The teacher should take into account:</w:t>
      </w:r>
    </w:p>
    <w:p w:rsidR="00000000" w:rsidDel="00000000" w:rsidP="00000000" w:rsidRDefault="00000000" w:rsidRPr="00000000" w14:paraId="0000001E">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relevance of religious expression to the topic and assignment;</w:t>
      </w:r>
    </w:p>
    <w:p w:rsidR="00000000" w:rsidDel="00000000" w:rsidP="00000000" w:rsidRDefault="00000000" w:rsidRPr="00000000" w14:paraId="0000001F">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substance of the presentation and adherence to the assignment; and </w:t>
      </w:r>
    </w:p>
    <w:p w:rsidR="00000000" w:rsidDel="00000000" w:rsidP="00000000" w:rsidRDefault="00000000" w:rsidRPr="00000000" w14:paraId="00000020">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In the case of oral presentations, expression of religious beliefs may not subject other students to unwelcome religious persuasion, coercion, or persecution. </w:t>
      </w:r>
    </w:p>
    <w:p w:rsidR="00000000" w:rsidDel="00000000" w:rsidP="00000000" w:rsidRDefault="00000000" w:rsidRPr="00000000" w14:paraId="00000021">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If the teacher determines an assignment expressing religious beliefs is appropriate to the subject matter, NMA may not reject or penalize a student’s work because it encompasses his or her religious beliefs.  The assignment will be graded by the same standards as other students’ assignments. </w:t>
      </w:r>
    </w:p>
    <w:p w:rsidR="00000000" w:rsidDel="00000000" w:rsidP="00000000" w:rsidRDefault="00000000" w:rsidRPr="00000000" w14:paraId="00000022">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Absence from School for Religious Observance:</w:t>
      </w:r>
    </w:p>
    <w:p w:rsidR="00000000" w:rsidDel="00000000" w:rsidP="00000000" w:rsidRDefault="00000000" w:rsidRPr="00000000" w14:paraId="00000023">
      <w:pPr>
        <w:numPr>
          <w:ilvl w:val="2"/>
          <w:numId w:val="1"/>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NMA will make reasonable efforts to accommodate a student who asks to be excused from school for a religious observance. </w:t>
      </w:r>
    </w:p>
    <w:p w:rsidR="00000000" w:rsidDel="00000000" w:rsidP="00000000" w:rsidRDefault="00000000" w:rsidRPr="00000000" w14:paraId="00000024">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Release from School for Religious Instruction:</w:t>
      </w:r>
    </w:p>
    <w:p w:rsidR="00000000" w:rsidDel="00000000" w:rsidP="00000000" w:rsidRDefault="00000000" w:rsidRPr="00000000" w14:paraId="00000025">
      <w:pPr>
        <w:numPr>
          <w:ilvl w:val="2"/>
          <w:numId w:val="1"/>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If a parent, guardian, or person having control of a student chooses to excuse a student from school for religious instruction, the parent may apply to NMA’s Board of Directors or Executive Director. NMA may approve the application if:</w:t>
      </w:r>
    </w:p>
    <w:p w:rsidR="00000000" w:rsidDel="00000000" w:rsidP="00000000" w:rsidRDefault="00000000" w:rsidRPr="00000000" w14:paraId="00000026">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excused absence does not exceed 3 hours per week;</w:t>
      </w:r>
    </w:p>
    <w:p w:rsidR="00000000" w:rsidDel="00000000" w:rsidP="00000000" w:rsidRDefault="00000000" w:rsidRPr="00000000" w14:paraId="00000027">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religious instruction is conducted and maintained by a church; association of church, or Sunday school incorporated in Minnesota;</w:t>
      </w:r>
    </w:p>
    <w:p w:rsidR="00000000" w:rsidDel="00000000" w:rsidP="00000000" w:rsidRDefault="00000000" w:rsidRPr="00000000" w14:paraId="00000028">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religious instruction is conducted and maintained at a separate location from New Millennium Academy; and</w:t>
      </w:r>
    </w:p>
    <w:p w:rsidR="00000000" w:rsidDel="00000000" w:rsidP="00000000" w:rsidRDefault="00000000" w:rsidRPr="00000000" w14:paraId="00000029">
      <w:pPr>
        <w:numPr>
          <w:ilvl w:val="3"/>
          <w:numId w:val="1"/>
        </w:numPr>
        <w:spacing w:line="240" w:lineRule="auto"/>
        <w:ind w:left="28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religious instruction is not maintained at public expense. </w:t>
      </w:r>
    </w:p>
    <w:p w:rsidR="00000000" w:rsidDel="00000000" w:rsidP="00000000" w:rsidRDefault="00000000" w:rsidRPr="00000000" w14:paraId="0000002A">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School officials shall neither encourage nor discourage students from utilizing the release policy.</w:t>
      </w:r>
    </w:p>
    <w:p w:rsidR="00000000" w:rsidDel="00000000" w:rsidP="00000000" w:rsidRDefault="00000000" w:rsidRPr="00000000" w14:paraId="0000002B">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b w:val="1"/>
          <w:rtl w:val="0"/>
        </w:rPr>
        <w:t xml:space="preserve">PROCEDURES TO BE DEVELOPED</w:t>
      </w:r>
    </w:p>
    <w:p w:rsidR="00000000" w:rsidDel="00000000" w:rsidP="00000000" w:rsidRDefault="00000000" w:rsidRPr="00000000" w14:paraId="0000002C">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NMA</w:t>
      </w:r>
      <w:r w:rsidDel="00000000" w:rsidR="00000000" w:rsidRPr="00000000">
        <w:rPr>
          <w:rFonts w:ascii="Quincy CF" w:cs="Quincy CF" w:eastAsia="Quincy CF" w:hAnsi="Quincy CF"/>
          <w:rtl w:val="0"/>
        </w:rPr>
        <w:t xml:space="preserve"> may prepare recommended procedures to handle requests under this policy as necessary. Upon approval by the Board of Directors, such procedures shall be an addendum to this policy.</w:t>
      </w:r>
    </w:p>
    <w:p w:rsidR="00000000" w:rsidDel="00000000" w:rsidP="00000000" w:rsidRDefault="00000000" w:rsidRPr="00000000" w14:paraId="0000002D">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b w:val="1"/>
          <w:rtl w:val="0"/>
        </w:rPr>
        <w:t xml:space="preserve">LEGAL REFERENCES</w:t>
      </w:r>
    </w:p>
    <w:p w:rsidR="00000000" w:rsidDel="00000000" w:rsidP="00000000" w:rsidRDefault="00000000" w:rsidRPr="00000000" w14:paraId="0000002E">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U. S. Const., Amendment 1 </w:t>
      </w:r>
    </w:p>
    <w:p w:rsidR="00000000" w:rsidDel="00000000" w:rsidP="00000000" w:rsidRDefault="00000000" w:rsidRPr="00000000" w14:paraId="0000002F">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Art. I sec. 16 of the Minnesota Constitution</w:t>
      </w:r>
    </w:p>
    <w:p w:rsidR="00000000" w:rsidDel="00000000" w:rsidP="00000000" w:rsidRDefault="00000000" w:rsidRPr="00000000" w14:paraId="00000030">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Minn. Stat. § 363A et. seq. (Minnesota Human Rights Act)</w:t>
      </w:r>
    </w:p>
    <w:p w:rsidR="00000000" w:rsidDel="00000000" w:rsidP="00000000" w:rsidRDefault="00000000" w:rsidRPr="00000000" w14:paraId="00000031">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Minn. Stat. § 120A.22 (Compulsory Instruction)</w:t>
      </w:r>
    </w:p>
    <w:p w:rsidR="00000000" w:rsidDel="00000000" w:rsidP="00000000" w:rsidRDefault="00000000" w:rsidRPr="00000000" w14:paraId="00000032">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Minn. Stat. § 120A.35 (Absence from School for Religious Observance)</w:t>
      </w:r>
    </w:p>
    <w:p w:rsidR="00000000" w:rsidDel="00000000" w:rsidP="00000000" w:rsidRDefault="00000000" w:rsidRPr="00000000" w14:paraId="00000033">
      <w:pPr>
        <w:spacing w:line="240" w:lineRule="auto"/>
        <w:ind w:left="0" w:firstLine="720"/>
        <w:jc w:val="both"/>
        <w:rPr>
          <w:rFonts w:ascii="Quincy CF" w:cs="Quincy CF" w:eastAsia="Quincy CF" w:hAnsi="Quincy CF"/>
        </w:rPr>
      </w:pPr>
      <w:r w:rsidDel="00000000" w:rsidR="00000000" w:rsidRPr="00000000">
        <w:rPr>
          <w:rFonts w:ascii="Quincy CF" w:cs="Quincy CF" w:eastAsia="Quincy CF" w:hAnsi="Quincy CF"/>
          <w:rtl w:val="0"/>
        </w:rPr>
        <w:t xml:space="preserve">School Dist. of Abington Tp., Pa. v. Schempp, 374 U.S. 203 (1963). </w:t>
      </w:r>
    </w:p>
    <w:p w:rsidR="00000000" w:rsidDel="00000000" w:rsidP="00000000" w:rsidRDefault="00000000" w:rsidRPr="00000000" w14:paraId="00000034">
      <w:pPr>
        <w:spacing w:line="240" w:lineRule="auto"/>
        <w:ind w:left="0" w:firstLine="720"/>
        <w:jc w:val="both"/>
        <w:rPr>
          <w:rFonts w:ascii="Raleway" w:cs="Raleway" w:eastAsia="Raleway" w:hAnsi="Raleway"/>
        </w:rPr>
      </w:pPr>
      <w:r w:rsidDel="00000000" w:rsidR="00000000" w:rsidRPr="00000000">
        <w:rPr>
          <w:rFonts w:ascii="Quincy CF" w:cs="Quincy CF" w:eastAsia="Quincy CF" w:hAnsi="Quincy CF"/>
          <w:rtl w:val="0"/>
        </w:rPr>
        <w:t xml:space="preserve">Floery v. Sioux Falls School Dist. 619 F.2d 1311 (1980).</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B">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9">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b w:val="1"/>
      </w:rPr>
    </w:lvl>
    <w:lvl w:ilvl="3">
      <w:start w:val="1"/>
      <w:numFmt w:val="decimal"/>
      <w:lvlText w:val="%4."/>
      <w:lvlJc w:val="left"/>
      <w:pPr>
        <w:ind w:left="2880" w:hanging="360"/>
      </w:pPr>
      <w:rPr>
        <w:rFonts w:ascii="Arial" w:cs="Arial" w:eastAsia="Arial" w:hAnsi="Arial"/>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