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3628"/>
        <w:gridCol w:w="3117"/>
        <w:tblGridChange w:id="0">
          <w:tblGrid>
            <w:gridCol w:w="2605"/>
            <w:gridCol w:w="3628"/>
            <w:gridCol w:w="3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Document ID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507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RECORD RETENTION/DESTRUCTION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Effective Date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12/14/2020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Last Date of Review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12/14/2020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Re-Review: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2023-2024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Approved by Board of Directors: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12/14/2020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PURPOSE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08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NEW MILLENNIUM ACADEMY (NMA) must establish a process so that staff may identify records, assess their value and determine how long to keep them in compliance with state requirements concerning record retention and destruction law.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STATEMENT OF POLICY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08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It is the policy of NMA to fully comply with the state law regarding record retention and destruction and with the Minnesota Government Data Practices Act.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ADOPTION OF GENERAL SCHEDULE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08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NMA hereby adopts the General Record Retention Schedule for School Districts established by the state Records Disposition Panel pursuant to Minn. Stat. §138.17.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08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NMA’s Executive team is directed to take the steps necessary to notify the State Archives that NMA has officially adopted the general schedule.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08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NMA’s Executive team is also directed to develop a process for retaining and disposing of school records in a manner consistent with that schedule.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LEGAL REFERENCES</w:t>
      </w:r>
    </w:p>
    <w:p w:rsidR="00000000" w:rsidDel="00000000" w:rsidP="00000000" w:rsidRDefault="00000000" w:rsidRPr="00000000" w14:paraId="00000018">
      <w:pPr>
        <w:spacing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Minn. Stat. §138.17 (Government Records; Administration)</w:t>
      </w:r>
    </w:p>
    <w:p w:rsidR="00000000" w:rsidDel="00000000" w:rsidP="00000000" w:rsidRDefault="00000000" w:rsidRPr="00000000" w14:paraId="00000019">
      <w:pPr>
        <w:spacing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Minn. Stat. § 124E.03 (Charter Schools – Applicable Law)</w:t>
      </w:r>
    </w:p>
    <w:p w:rsidR="00000000" w:rsidDel="00000000" w:rsidP="00000000" w:rsidRDefault="00000000" w:rsidRPr="00000000" w14:paraId="0000001A">
      <w:pPr>
        <w:spacing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Minn. Stat. Ch. 13 (Government Data Practices)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</w:t>
      </w:r>
    </w:p>
    <w:p w:rsidR="00000000" w:rsidDel="00000000" w:rsidP="00000000" w:rsidRDefault="00000000" w:rsidRPr="00000000" w14:paraId="0000001C">
      <w:pPr>
        <w:spacing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The schedule is available online at: </w:t>
      </w:r>
      <w:hyperlink r:id="rId6">
        <w:r w:rsidDel="00000000" w:rsidR="00000000" w:rsidRPr="00000000">
          <w:rPr>
            <w:u w:val="single"/>
            <w:rtl w:val="0"/>
          </w:rPr>
          <w:t xml:space="preserve">www.mnhs.org/preserve/records/retentionsched.html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21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Merriweather" w:cs="Merriweather" w:eastAsia="Merriweather" w:hAnsi="Merriweather"/>
        <w:sz w:val="16"/>
        <w:szCs w:val="16"/>
      </w:rPr>
    </w:pPr>
    <w:r w:rsidDel="00000000" w:rsidR="00000000" w:rsidRPr="00000000">
      <w:rPr>
        <w:rFonts w:ascii="Merriweather" w:cs="Merriweather" w:eastAsia="Merriweather" w:hAnsi="Merriweather"/>
        <w:sz w:val="16"/>
        <w:szCs w:val="16"/>
        <w:rtl w:val="0"/>
      </w:rPr>
      <w:t xml:space="preserve">5105 Brooklyn Blvd., Brooklyn Center, MN 55429 | Office: (763) 235-7900 | Fax: (763) 235-7979 | www.nmaedu.org</w:t>
    </w:r>
  </w:p>
  <w:p w:rsidR="00000000" w:rsidDel="00000000" w:rsidP="00000000" w:rsidRDefault="00000000" w:rsidRPr="00000000" w14:paraId="00000026">
    <w:pPr>
      <w:rPr>
        <w:rFonts w:ascii="Merriweather" w:cs="Merriweather" w:eastAsia="Merriweather" w:hAnsi="Merriweather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3076575</wp:posOffset>
          </wp:positionH>
          <wp:positionV relativeFrom="paragraph">
            <wp:posOffset>224607</wp:posOffset>
          </wp:positionV>
          <wp:extent cx="3767138" cy="380336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67138" cy="38033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Fonts w:ascii="Merriweather" w:cs="Merriweather" w:eastAsia="Merriweather" w:hAnsi="Merriweathe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-219074</wp:posOffset>
          </wp:positionV>
          <wp:extent cx="5753100" cy="12001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299" l="0" r="3205" t="17514"/>
                  <a:stretch>
                    <a:fillRect/>
                  </a:stretch>
                </pic:blipFill>
                <pic:spPr>
                  <a:xfrm>
                    <a:off x="0" y="0"/>
                    <a:ext cx="5753100" cy="1200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jc w:val="right"/>
      <w:rPr>
        <w:rFonts w:ascii="Merriweather" w:cs="Merriweather" w:eastAsia="Merriweather" w:hAnsi="Merriweather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right"/>
      <w:rPr>
        <w:rFonts w:ascii="Merriweather" w:cs="Merriweather" w:eastAsia="Merriweather" w:hAnsi="Merriweather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right"/>
      <w:rPr>
        <w:rFonts w:ascii="Merriweather" w:cs="Merriweather" w:eastAsia="Merriweather" w:hAnsi="Merriweather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right"/>
      <w:rPr>
        <w:rFonts w:ascii="Merriweather" w:cs="Merriweather" w:eastAsia="Merriweather" w:hAnsi="Merriweather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 w:eastAsia="Times New Roman" w:hAnsi="Times New Roman"/>
      </w:rPr>
    </w:lvl>
    <w:lvl w:ilvl="5">
      <w:start w:val="21"/>
      <w:numFmt w:val="lowerRoman"/>
      <w:lvlText w:val="%6."/>
      <w:lvlJc w:val="right"/>
      <w:pPr>
        <w:ind w:left="4140" w:hanging="360"/>
      </w:pPr>
      <w:rPr>
        <w:rFonts w:ascii="Calibri" w:cs="Calibri" w:eastAsia="Calibri" w:hAnsi="Calibri"/>
      </w:rPr>
    </w:lvl>
    <w:lvl w:ilvl="6">
      <w:start w:val="0"/>
      <w:numFmt w:val="decimal"/>
      <w:lvlText w:val="%7."/>
      <w:lvlJc w:val="left"/>
      <w:pPr>
        <w:ind w:left="4680" w:hanging="360"/>
      </w:pPr>
      <w:rPr>
        <w:rFonts w:ascii="Calibri" w:cs="Calibri" w:eastAsia="Calibri" w:hAnsi="Calibri"/>
      </w:rPr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nhs.org/preserve/records/retentionsched.htm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